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6C5ADCB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A85A95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SAMSON</w:t>
      </w:r>
      <w:r w:rsidR="00A718A5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-2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A85A95" w:rsidRPr="00A85A95">
        <w:rPr>
          <w:rFonts w:cstheme="minorHAnsi"/>
          <w:b/>
          <w:bCs/>
          <w:color w:val="EB8215"/>
          <w:sz w:val="28"/>
          <w:szCs w:val="28"/>
          <w:lang w:val="en-GB"/>
        </w:rPr>
        <w:t>POLYVALENT HYDRAULIC GATE CLOSER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560D89B8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shall be 100% mechanical (no electronic components).</w:t>
      </w:r>
    </w:p>
    <w:p w14:paraId="60693760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It shall be possible to adjust the closing speed of the gate by simply adjusting a valve with an Allen key, and this in a continuous way to ensure micro-adjustments.</w:t>
      </w:r>
    </w:p>
    <w:p w14:paraId="3F7E59E2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It shall be possible to activate a final snap (free run) on the gate closer to ensure the latching of the gate.</w:t>
      </w:r>
    </w:p>
    <w:p w14:paraId="6D4AFE2D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14:paraId="710604B2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 xml:space="preserve">The closing force shall be adjustable. </w:t>
      </w:r>
    </w:p>
    <w:p w14:paraId="0EEF26B7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shall allow for a 150 degrees opening angle of the gate.</w:t>
      </w:r>
    </w:p>
    <w:p w14:paraId="07ACEC50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When opened 150 degrees, the gate closer should self-close over the 150 degrees.</w:t>
      </w:r>
    </w:p>
    <w:p w14:paraId="0FF26486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 xml:space="preserve">The gate closer should have a hydraulic dampening mechanism. </w:t>
      </w:r>
    </w:p>
    <w:p w14:paraId="610729A4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shall have an integrated anti-theft protection system.</w:t>
      </w:r>
    </w:p>
    <w:p w14:paraId="6AD564EC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should be designed and manufactured in Europe or in the United States.</w:t>
      </w:r>
    </w:p>
    <w:p w14:paraId="178DA49A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shall be ADA compliant.</w:t>
      </w:r>
    </w:p>
    <w:p w14:paraId="2FF06CF5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should have double rubber sealings to avoid oil leakage at all times.</w:t>
      </w:r>
    </w:p>
    <w:p w14:paraId="3590B1A5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should use rotary seals (vs. linear) seals to ensure the longevity of the closer.</w:t>
      </w:r>
    </w:p>
    <w:p w14:paraId="0AFBDB17" w14:textId="77777777" w:rsidR="00A85A95" w:rsidRPr="00A85A95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>The gate closer shall be able to close gates up to 150 kilo / 330 lbs and gate width up to 2m / 6-1/2”.</w:t>
      </w:r>
    </w:p>
    <w:p w14:paraId="30B13BB5" w14:textId="7B10B427" w:rsidR="007F7140" w:rsidRPr="004C7EF3" w:rsidRDefault="00A85A95" w:rsidP="00A85A95">
      <w:pPr>
        <w:pStyle w:val="Bullets"/>
        <w:rPr>
          <w:rFonts w:ascii="Calibri" w:hAnsi="Calibri" w:cs="Calibri"/>
        </w:rPr>
      </w:pPr>
      <w:r w:rsidRPr="00A85A95">
        <w:rPr>
          <w:rFonts w:ascii="Calibri" w:hAnsi="Calibri" w:cs="Calibri"/>
        </w:rPr>
        <w:t xml:space="preserve">The gate closer shall be available in silver </w:t>
      </w:r>
      <w:proofErr w:type="spellStart"/>
      <w:r w:rsidRPr="00A85A95">
        <w:rPr>
          <w:rFonts w:ascii="Calibri" w:hAnsi="Calibri" w:cs="Calibri"/>
        </w:rPr>
        <w:t>color</w:t>
      </w:r>
      <w:proofErr w:type="spellEnd"/>
      <w:r w:rsidRPr="00A85A95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specifically made for outdoor use (IP69).</w:t>
      </w:r>
    </w:p>
    <w:p w14:paraId="0A9ABD4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14:paraId="6D5B41F3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below 10 seconds at 70 degrees Celsius (summer).</w:t>
      </w:r>
    </w:p>
    <w:p w14:paraId="60FDF139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longer than 30 seconds at -30 degrees Celsius (winter).</w:t>
      </w:r>
    </w:p>
    <w:p w14:paraId="091C11E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been tested for 500,000 movements.</w:t>
      </w:r>
    </w:p>
    <w:p w14:paraId="14E821A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be maintenance free (no greasing nor oil refill).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759513CC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It shall be possible to mount the closer on minimum gate profiles of 35mm (1 3/8”) and with a material thickness of min. 2mm (5/64”), in openings of 15mm (5/8”) pre-drilled according to a drilling template.</w:t>
      </w:r>
    </w:p>
    <w:p w14:paraId="732570FE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14:paraId="7E6CB216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It shall be possible to mount the closer directly on a brick/stone wall.</w:t>
      </w:r>
    </w:p>
    <w:p w14:paraId="2AF8F2E6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same closer shall be able to be used for both left and right turning gates.</w:t>
      </w:r>
    </w:p>
    <w:p w14:paraId="2B8B339A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closer shall not require a gate stop to be used for limiting the opening angle.</w:t>
      </w:r>
    </w:p>
    <w:p w14:paraId="164770D1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A 3D-installation explanatory video shall be available for assisting the installer.</w:t>
      </w:r>
    </w:p>
    <w:p w14:paraId="65DE870B" w14:textId="0DAE392F" w:rsidR="00A718A5" w:rsidRDefault="00A718A5" w:rsidP="00A718A5">
      <w:pPr>
        <w:pStyle w:val="Bullets"/>
        <w:rPr>
          <w:rFonts w:ascii="Calibri" w:hAnsi="Calibri" w:cs="Calibri"/>
        </w:rPr>
      </w:pPr>
      <w:bookmarkStart w:id="0" w:name="_Hlk514832430"/>
      <w:r>
        <w:rPr>
          <w:rFonts w:ascii="Calibri" w:hAnsi="Calibri" w:cs="Calibri"/>
        </w:rPr>
        <w:t>Drilling templates shall be included for assisting the installer.</w:t>
      </w:r>
    </w:p>
    <w:p w14:paraId="6DA444BA" w14:textId="516AE275" w:rsidR="007E43F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  <w:bookmarkStart w:id="1" w:name="_GoBack"/>
      <w:bookmarkEnd w:id="0"/>
      <w:bookmarkEnd w:id="1"/>
    </w:p>
    <w:p w14:paraId="0C7E9213" w14:textId="6EB6A82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705D1A42" w14:textId="3EC5443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30D6137F" w14:textId="6E55A2D5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6654BFE2" w14:textId="77777777" w:rsidR="00A718A5" w:rsidRPr="007E43F1" w:rsidRDefault="00A718A5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77777777" w:rsidR="00332256" w:rsidRPr="00A718A5" w:rsidRDefault="00332256" w:rsidP="004C7EF3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1A16F9CA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 xml:space="preserve">The mechanism shall be made out stainless steel and </w:t>
      </w:r>
      <w:proofErr w:type="spellStart"/>
      <w:r w:rsidRPr="00A718A5">
        <w:rPr>
          <w:rFonts w:ascii="Calibri" w:hAnsi="Calibri" w:cs="Calibri"/>
        </w:rPr>
        <w:t>aluminum</w:t>
      </w:r>
      <w:proofErr w:type="spellEnd"/>
      <w:r w:rsidRPr="00A718A5">
        <w:rPr>
          <w:rFonts w:ascii="Calibri" w:hAnsi="Calibri" w:cs="Calibri"/>
        </w:rPr>
        <w:t xml:space="preserve"> components.</w:t>
      </w:r>
    </w:p>
    <w:p w14:paraId="7E796B9B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A718A5">
        <w:rPr>
          <w:rFonts w:ascii="Calibri" w:hAnsi="Calibri" w:cs="Calibri"/>
        </w:rPr>
        <w:t>aluminum</w:t>
      </w:r>
      <w:proofErr w:type="spellEnd"/>
      <w:r w:rsidRPr="00A718A5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A718A5">
        <w:rPr>
          <w:rFonts w:ascii="Calibri" w:hAnsi="Calibri" w:cs="Calibri"/>
        </w:rPr>
        <w:t>Qualicoat</w:t>
      </w:r>
      <w:proofErr w:type="spellEnd"/>
      <w:r w:rsidRPr="00A718A5">
        <w:rPr>
          <w:rFonts w:ascii="Calibri" w:hAnsi="Calibri" w:cs="Calibri"/>
        </w:rPr>
        <w:t xml:space="preserve"> standards.</w:t>
      </w:r>
    </w:p>
    <w:p w14:paraId="1322267A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gate closer shall have a corrosion resistance of 500h salt spray according to ISO9227.</w:t>
      </w:r>
    </w:p>
    <w:p w14:paraId="202AD1E4" w14:textId="77777777" w:rsidR="00A718A5" w:rsidRPr="00A718A5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gate closer shall be fully weather- and dustproof.</w:t>
      </w:r>
    </w:p>
    <w:p w14:paraId="7453A705" w14:textId="25C2DAD1" w:rsidR="00332256" w:rsidRPr="004C7EF3" w:rsidRDefault="00A718A5" w:rsidP="00A718A5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The gate closer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CBB6" w14:textId="77777777" w:rsidR="00030E90" w:rsidRDefault="00030E90" w:rsidP="0055711E">
      <w:pPr>
        <w:spacing w:after="0" w:line="240" w:lineRule="auto"/>
      </w:pPr>
      <w:r>
        <w:separator/>
      </w:r>
    </w:p>
  </w:endnote>
  <w:endnote w:type="continuationSeparator" w:id="0">
    <w:p w14:paraId="17161B36" w14:textId="77777777" w:rsidR="00030E90" w:rsidRDefault="00030E90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C2D9" w14:textId="77777777" w:rsidR="00030E90" w:rsidRDefault="00030E90" w:rsidP="0055711E">
      <w:pPr>
        <w:spacing w:after="0" w:line="240" w:lineRule="auto"/>
      </w:pPr>
      <w:r>
        <w:separator/>
      </w:r>
    </w:p>
  </w:footnote>
  <w:footnote w:type="continuationSeparator" w:id="0">
    <w:p w14:paraId="21889A1A" w14:textId="77777777" w:rsidR="00030E90" w:rsidRDefault="00030E90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4B3EDE"/>
    <w:rsid w:val="004C7EF3"/>
    <w:rsid w:val="0055711E"/>
    <w:rsid w:val="007E43F1"/>
    <w:rsid w:val="007F7140"/>
    <w:rsid w:val="008571B5"/>
    <w:rsid w:val="00915CB2"/>
    <w:rsid w:val="00A02D22"/>
    <w:rsid w:val="00A64315"/>
    <w:rsid w:val="00A718A5"/>
    <w:rsid w:val="00A85A95"/>
    <w:rsid w:val="00CD230B"/>
    <w:rsid w:val="00D82671"/>
    <w:rsid w:val="00E10401"/>
    <w:rsid w:val="00F57826"/>
    <w:rsid w:val="00F772CD"/>
    <w:rsid w:val="00FF27E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2018-05-23T07:52:00Z</dcterms:created>
  <dcterms:modified xsi:type="dcterms:W3CDTF">2018-05-23T07:53:00Z</dcterms:modified>
</cp:coreProperties>
</file>